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Градостроительное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00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00E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FC00E2">
              <w:rPr>
                <w:rFonts w:ascii="Times New Roman" w:hAnsi="Times New Roman" w:cs="Times New Roman"/>
                <w:sz w:val="20"/>
                <w:szCs w:val="20"/>
              </w:rPr>
              <w:t>, Кох Никита Вячеславович</w:t>
            </w:r>
          </w:p>
        </w:tc>
      </w:tr>
      <w:tr w:rsidR="007A7979" w:rsidRPr="007A7979" w14:paraId="724411CC" w14:textId="77777777" w:rsidTr="00ED54AA">
        <w:tc>
          <w:tcPr>
            <w:tcW w:w="9345" w:type="dxa"/>
          </w:tcPr>
          <w:p w14:paraId="7277A00D" w14:textId="77777777" w:rsidR="007A7979" w:rsidRPr="00FC00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00E2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FC00E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00E2">
              <w:rPr>
                <w:rFonts w:ascii="Times New Roman" w:hAnsi="Times New Roman" w:cs="Times New Roman"/>
                <w:sz w:val="20"/>
                <w:szCs w:val="20"/>
              </w:rPr>
              <w:t>Кораев</w:t>
            </w:r>
            <w:proofErr w:type="spellEnd"/>
            <w:r w:rsidRPr="00FC00E2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5E91D01" w14:textId="737062DE" w:rsidR="00FC00E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2797" w:history="1">
            <w:r w:rsidR="00FC00E2"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C00E2">
              <w:rPr>
                <w:noProof/>
                <w:webHidden/>
              </w:rPr>
              <w:tab/>
            </w:r>
            <w:r w:rsidR="00FC00E2">
              <w:rPr>
                <w:noProof/>
                <w:webHidden/>
              </w:rPr>
              <w:fldChar w:fldCharType="begin"/>
            </w:r>
            <w:r w:rsidR="00FC00E2">
              <w:rPr>
                <w:noProof/>
                <w:webHidden/>
              </w:rPr>
              <w:instrText xml:space="preserve"> PAGEREF _Toc232672797 \h </w:instrText>
            </w:r>
            <w:r w:rsidR="00FC00E2">
              <w:rPr>
                <w:noProof/>
                <w:webHidden/>
              </w:rPr>
            </w:r>
            <w:r w:rsidR="00FC00E2">
              <w:rPr>
                <w:noProof/>
                <w:webHidden/>
              </w:rPr>
              <w:fldChar w:fldCharType="separate"/>
            </w:r>
            <w:r w:rsidR="00FC00E2">
              <w:rPr>
                <w:noProof/>
                <w:webHidden/>
              </w:rPr>
              <w:t>3</w:t>
            </w:r>
            <w:r w:rsidR="00FC00E2">
              <w:rPr>
                <w:noProof/>
                <w:webHidden/>
              </w:rPr>
              <w:fldChar w:fldCharType="end"/>
            </w:r>
          </w:hyperlink>
        </w:p>
        <w:p w14:paraId="0B0AB87C" w14:textId="47455047" w:rsidR="00FC00E2" w:rsidRDefault="00FC00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798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54301C" w14:textId="68431678" w:rsidR="00FC00E2" w:rsidRDefault="00FC00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799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C66B73" w14:textId="7A1814A2" w:rsidR="00FC00E2" w:rsidRDefault="00FC00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0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150D58" w14:textId="27F4D1BF" w:rsidR="00FC00E2" w:rsidRDefault="00FC00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1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DB877" w14:textId="095797D8" w:rsidR="00FC00E2" w:rsidRDefault="00FC00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2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8AA2B8" w14:textId="10CD9784" w:rsidR="00FC00E2" w:rsidRDefault="00FC00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3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913F7D" w14:textId="33287291" w:rsidR="00FC00E2" w:rsidRDefault="00FC00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4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D85A9" w14:textId="000988FB" w:rsidR="00FC00E2" w:rsidRDefault="00FC00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5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D89C5" w14:textId="45FD49C5" w:rsidR="00FC00E2" w:rsidRDefault="00FC00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6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DB41A1" w14:textId="610E1F71" w:rsidR="00FC00E2" w:rsidRDefault="00FC00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7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18917" w14:textId="7E0E3FA5" w:rsidR="00FC00E2" w:rsidRDefault="00FC00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8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51BC2" w14:textId="691B05F1" w:rsidR="00FC00E2" w:rsidRDefault="00FC00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09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6CA9A" w14:textId="72669EC1" w:rsidR="00FC00E2" w:rsidRDefault="00FC00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10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3749B7" w14:textId="00DE74C4" w:rsidR="00FC00E2" w:rsidRDefault="00FC00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11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13CE2A" w14:textId="3A861656" w:rsidR="00FC00E2" w:rsidRDefault="00FC00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12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9158C" w14:textId="3C0E235E" w:rsidR="00FC00E2" w:rsidRDefault="00FC00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13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1C7219" w14:textId="215F7F32" w:rsidR="00FC00E2" w:rsidRDefault="00FC00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2814" w:history="1">
            <w:r w:rsidRPr="00BC30B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_Toc232672814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5EDFBF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72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8D688A2" w:rsidR="00751095" w:rsidRPr="00352B6F" w:rsidRDefault="00FC00E2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правового регулирования градостроительной деятельности, включая изучение правовых механизмов территориального планирования, градостроительного зонирования, планировки территории, выдачи разрешений на строительство и ввод объектов в эксплуатацию, а также правового сопровождения инвестиционно-строительных проектов на всех стадиях их реализации.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72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Градостроительное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72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1955"/>
        <w:gridCol w:w="5315"/>
      </w:tblGrid>
      <w:tr w:rsidR="00751095" w:rsidRPr="00FC00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00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00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00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00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00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0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00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00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00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</w:rPr>
              <w:t>ОПК-2 - 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00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0E2">
              <w:rPr>
                <w:rFonts w:ascii="Times New Roman" w:hAnsi="Times New Roman" w:cs="Times New Roman"/>
                <w:lang w:bidi="ru-RU"/>
              </w:rPr>
              <w:t>ОПК-2.3 - Способен грамотно оформить экспертное юридическое заключение (правовую экспертизу), провести экспертизу нормативных (индивидуальных) правовых актов с формированием итогового документа по итогам такой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00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00E2">
              <w:rPr>
                <w:rFonts w:ascii="Times New Roman" w:hAnsi="Times New Roman" w:cs="Times New Roman"/>
              </w:rPr>
              <w:t>структуру, требования и правила оформления экспертного юридического заключения (правовой экспертизы) в сфере градостроительного права (Градостроительный кодекс РФ, федеральные законы о публичных слушаниях, об объектах культурного наследия, жилищное, земельное, экологическое законодательство, нормативные правовые акты субъектов РФ и органов местного самоуправления), методику проведения экспертизы нормативных и индивидуальных правовых актов (правила землепользования и застройки, документация по планировке территории, разрешения на строительство и ввод объектов в эксплуатацию, градостроительные планы земельных участков, договоры о развитии застроенных территорий, соглашения о комплексном развитии территорий), а также порядок формирования итогового документа по результатам такой экспертизы.</w:t>
            </w:r>
            <w:r w:rsidRPr="00FC00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00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00E2">
              <w:rPr>
                <w:rFonts w:ascii="Times New Roman" w:hAnsi="Times New Roman" w:cs="Times New Roman"/>
              </w:rPr>
              <w:t xml:space="preserve">самостоятельно проводить экспертизу нормативных и индивидуальных правовых актов в сфере градостроительного права (включая проверку соответствия вышестоящему законодательству, выявление </w:t>
            </w:r>
            <w:proofErr w:type="spellStart"/>
            <w:r w:rsidR="00FD518F" w:rsidRPr="00FC00E2"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 w:rsidR="00FD518F" w:rsidRPr="00FC00E2">
              <w:rPr>
                <w:rFonts w:ascii="Times New Roman" w:hAnsi="Times New Roman" w:cs="Times New Roman"/>
              </w:rPr>
              <w:t xml:space="preserve"> факторов, оценку достижимости целей </w:t>
            </w:r>
            <w:proofErr w:type="spellStart"/>
            <w:r w:rsidR="00FD518F" w:rsidRPr="00FC00E2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="00FD518F" w:rsidRPr="00FC00E2">
              <w:rPr>
                <w:rFonts w:ascii="Times New Roman" w:hAnsi="Times New Roman" w:cs="Times New Roman"/>
              </w:rPr>
              <w:t xml:space="preserve">), грамотно оформлять экспертное юридическое заключение </w:t>
            </w:r>
            <w:r w:rsidR="00FD518F" w:rsidRPr="00FC00E2">
              <w:rPr>
                <w:rFonts w:ascii="Times New Roman" w:hAnsi="Times New Roman" w:cs="Times New Roman"/>
              </w:rPr>
              <w:lastRenderedPageBreak/>
              <w:t>(правовую экспертизу) с соблюдением предъявляемых требований к структуре, содержанию и аргументации, а также формировать итоговый документ по результатам экспертизы (заключение об актуальности, обоснованности и правомерности градостроительных актов, о правовых рисках для бизнеса при осуществлении строительства и развития территорий).</w:t>
            </w:r>
            <w:r w:rsidRPr="00FC00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00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00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00E2">
              <w:rPr>
                <w:rFonts w:ascii="Times New Roman" w:hAnsi="Times New Roman" w:cs="Times New Roman"/>
              </w:rPr>
              <w:t>навыками проведения экспертизы нормативных и индивидуальных правовых актов в сфере градостроительного права, способами грамотного оформления экспертных юридических заключений (в том числе выявления коллизий, пробелов, противоречий между актами разного уровня), приемами формирования итогового документа по результатам экспертизы (структурированное заключение с выводами и предложениями по устранению выявленных недостатков), а также методами правового анализа градостроительной документации для целей оценки законности и минимизации рисков бизнеса при реализации инвестиционно-строительных проектов.</w:t>
            </w:r>
            <w:r w:rsidR="00FD518F" w:rsidRPr="00FC00E2">
              <w:rPr>
                <w:rFonts w:ascii="Times New Roman" w:hAnsi="Times New Roman" w:cs="Times New Roman"/>
              </w:rPr>
              <w:br/>
            </w:r>
            <w:r w:rsidRPr="00FC00E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00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728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Объекты недвижимости. Индивидуальное определение недвижимости в качестве вещей и объектов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br/>
              <w:t>Земельные участки;</w:t>
            </w:r>
            <w:r w:rsidRPr="00352B6F">
              <w:rPr>
                <w:lang w:bidi="ru-RU"/>
              </w:rPr>
              <w:br/>
              <w:t>Здания и сооружения;</w:t>
            </w:r>
            <w:r w:rsidRPr="00352B6F">
              <w:rPr>
                <w:lang w:bidi="ru-RU"/>
              </w:rPr>
              <w:br/>
              <w:t>Части зданий и сооружений;</w:t>
            </w:r>
            <w:r w:rsidRPr="00352B6F">
              <w:rPr>
                <w:lang w:bidi="ru-RU"/>
              </w:rPr>
              <w:br/>
              <w:t>Объекты незаврешённого строительства;</w:t>
            </w:r>
            <w:r w:rsidRPr="00352B6F">
              <w:rPr>
                <w:lang w:bidi="ru-RU"/>
              </w:rPr>
              <w:br/>
              <w:t>Индивидуальное определение объектов недвижимости.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957FE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6BC1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регулирование использования и оборота недвижимости на территориях действия градостроительного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32D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Территориальное планирование;</w:t>
            </w:r>
            <w:r w:rsidRPr="00352B6F">
              <w:rPr>
                <w:lang w:bidi="ru-RU"/>
              </w:rPr>
              <w:br/>
              <w:t>Градостроительное зонирование;</w:t>
            </w:r>
            <w:r w:rsidRPr="00352B6F">
              <w:rPr>
                <w:lang w:bidi="ru-RU"/>
              </w:rPr>
              <w:br/>
              <w:t>Планировка территорий;</w:t>
            </w:r>
            <w:r w:rsidRPr="00352B6F">
              <w:rPr>
                <w:lang w:bidi="ru-RU"/>
              </w:rPr>
              <w:br/>
              <w:t>Комплексное и устойчивое развитие территорий;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BE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7EE8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BEB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406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3F4B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DDCC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3. Правоотношения, связанные с использованием и оборотом земельных участков в контексте градостроительства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C66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собственности на земельные участки;</w:t>
            </w:r>
            <w:r w:rsidRPr="00352B6F">
              <w:rPr>
                <w:lang w:bidi="ru-RU"/>
              </w:rPr>
              <w:br/>
              <w:t>Сервитуты;</w:t>
            </w:r>
            <w:r w:rsidRPr="00352B6F">
              <w:rPr>
                <w:lang w:bidi="ru-RU"/>
              </w:rPr>
              <w:br/>
              <w:t>Аренда земельных участков;</w:t>
            </w:r>
            <w:r w:rsidRPr="00352B6F">
              <w:rPr>
                <w:lang w:bidi="ru-RU"/>
              </w:rPr>
              <w:br/>
              <w:t>Право постоянного (бессрочного) пользования и право безвозмездного пользования земельными участками.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503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57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72F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875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64316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25B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Правоотношения, связанные с использованием и оборотом капитальных объектов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F85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br/>
              <w:t>Вводная информация (общие вопросы);</w:t>
            </w:r>
            <w:r w:rsidRPr="00352B6F">
              <w:rPr>
                <w:lang w:bidi="ru-RU"/>
              </w:rPr>
              <w:br/>
              <w:t>Инженерные изыскания;</w:t>
            </w:r>
            <w:r w:rsidRPr="00352B6F">
              <w:rPr>
                <w:lang w:bidi="ru-RU"/>
              </w:rPr>
              <w:br/>
              <w:t>Архитектурно-строительное проектирование;</w:t>
            </w:r>
            <w:r w:rsidRPr="00352B6F">
              <w:rPr>
                <w:lang w:bidi="ru-RU"/>
              </w:rPr>
              <w:br/>
              <w:t>Получение разрешения на строительство;</w:t>
            </w:r>
            <w:r w:rsidRPr="00352B6F">
              <w:rPr>
                <w:lang w:bidi="ru-RU"/>
              </w:rPr>
              <w:br/>
              <w:t>Строительство капитальных объектов;</w:t>
            </w:r>
            <w:r w:rsidRPr="00352B6F">
              <w:rPr>
                <w:lang w:bidi="ru-RU"/>
              </w:rPr>
              <w:br/>
              <w:t>Эксплуатация капитальных объектов;</w:t>
            </w:r>
            <w:r w:rsidRPr="00352B6F">
              <w:rPr>
                <w:lang w:bidi="ru-RU"/>
              </w:rPr>
              <w:br/>
              <w:t>Снос капитальных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B8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77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2B7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591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728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28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8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00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Гринев, В. П. Жилищное и градостроительное законодательство: </w:t>
            </w:r>
            <w:proofErr w:type="gramStart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Слов.-</w:t>
            </w:r>
            <w:proofErr w:type="gramEnd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справ. / В.П. Гринев. - </w:t>
            </w:r>
            <w:proofErr w:type="gramStart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ГроссМедиа</w:t>
            </w:r>
            <w:proofErr w:type="spellEnd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, 2006. - 154 с.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proofErr w:type="gramEnd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 5-476-00213-8.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/331913 (дата обращения: 17.06.2026).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C00E2" w:rsidRDefault="006F4F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anchor="bib" w:history="1">
              <w:r w:rsidR="00984247">
                <w:rPr>
                  <w:color w:val="00008B"/>
                  <w:u w:val="single"/>
                </w:rPr>
                <w:t>https://znanium.ru/catalog/document?id=209970#bib</w:t>
              </w:r>
            </w:hyperlink>
          </w:p>
        </w:tc>
      </w:tr>
      <w:tr w:rsidR="00262CF0" w:rsidRPr="00FC00E2" w14:paraId="3FD50A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BF3D70" w14:textId="77777777" w:rsidR="00262CF0" w:rsidRPr="00FC00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Гринев, В. П. Гринёв, В. П. Правовое регулирование градостроительной деятельности / В. П. Гринёв. - </w:t>
            </w:r>
            <w:proofErr w:type="gramStart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ГроссМедиа</w:t>
            </w:r>
            <w:proofErr w:type="spellEnd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, 2006. - 448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 5-476-00222-7. - </w:t>
            </w:r>
            <w:proofErr w:type="gramStart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Текст :</w:t>
            </w:r>
            <w:proofErr w:type="gramEnd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FC00E2">
              <w:rPr>
                <w:rFonts w:ascii="Times New Roman" w:hAnsi="Times New Roman" w:cs="Times New Roman"/>
                <w:sz w:val="24"/>
                <w:szCs w:val="24"/>
              </w:rPr>
              <w:t>/347694 (дата обращения: 17.06.2026).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A4F197" w14:textId="77777777" w:rsidR="00262CF0" w:rsidRPr="007E6725" w:rsidRDefault="006F4F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bib" w:history="1">
              <w:r w:rsidR="00984247" w:rsidRPr="00FC00E2">
                <w:rPr>
                  <w:color w:val="00008B"/>
                  <w:u w:val="single"/>
                  <w:lang w:val="en-US"/>
                </w:rPr>
                <w:t>https://znanium.ru/catalog/doc ... d=19674&amp;from_similar=1#bib</w:t>
              </w:r>
            </w:hyperlink>
          </w:p>
        </w:tc>
      </w:tr>
    </w:tbl>
    <w:p w14:paraId="570D085B" w14:textId="77777777" w:rsidR="0091168E" w:rsidRPr="00FC00E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728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1AD43E" w14:textId="77777777" w:rsidTr="007B550D">
        <w:tc>
          <w:tcPr>
            <w:tcW w:w="9345" w:type="dxa"/>
          </w:tcPr>
          <w:p w14:paraId="6AEE25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124975" w14:textId="77777777" w:rsidTr="007B550D">
        <w:tc>
          <w:tcPr>
            <w:tcW w:w="9345" w:type="dxa"/>
          </w:tcPr>
          <w:p w14:paraId="194D28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DEAD6B" w14:textId="77777777" w:rsidTr="007B550D">
        <w:tc>
          <w:tcPr>
            <w:tcW w:w="9345" w:type="dxa"/>
          </w:tcPr>
          <w:p w14:paraId="1898E6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A49F19" w14:textId="77777777" w:rsidTr="007B550D">
        <w:tc>
          <w:tcPr>
            <w:tcW w:w="9345" w:type="dxa"/>
          </w:tcPr>
          <w:p w14:paraId="45AFAD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28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4F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728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00E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C00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00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00E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00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C00E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C00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00E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00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00E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FC00E2">
              <w:rPr>
                <w:sz w:val="22"/>
                <w:szCs w:val="22"/>
                <w:lang w:val="en-US"/>
              </w:rPr>
              <w:t>Intel</w:t>
            </w:r>
            <w:r w:rsidRPr="00FC00E2">
              <w:rPr>
                <w:sz w:val="22"/>
                <w:szCs w:val="22"/>
              </w:rPr>
              <w:t xml:space="preserve"> </w:t>
            </w:r>
            <w:proofErr w:type="spellStart"/>
            <w:r w:rsidRPr="00FC00E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00E2">
              <w:rPr>
                <w:sz w:val="22"/>
                <w:szCs w:val="22"/>
              </w:rPr>
              <w:t>3 2100 3.3/4</w:t>
            </w:r>
            <w:r w:rsidRPr="00FC00E2">
              <w:rPr>
                <w:sz w:val="22"/>
                <w:szCs w:val="22"/>
                <w:lang w:val="en-US"/>
              </w:rPr>
              <w:t>Gb</w:t>
            </w:r>
            <w:r w:rsidRPr="00FC00E2">
              <w:rPr>
                <w:sz w:val="22"/>
                <w:szCs w:val="22"/>
              </w:rPr>
              <w:t>/500</w:t>
            </w:r>
            <w:r w:rsidRPr="00FC00E2">
              <w:rPr>
                <w:sz w:val="22"/>
                <w:szCs w:val="22"/>
                <w:lang w:val="en-US"/>
              </w:rPr>
              <w:t>Gb</w:t>
            </w:r>
            <w:r w:rsidRPr="00FC00E2">
              <w:rPr>
                <w:sz w:val="22"/>
                <w:szCs w:val="22"/>
              </w:rPr>
              <w:t>/</w:t>
            </w:r>
            <w:proofErr w:type="spellStart"/>
            <w:r w:rsidRPr="00FC00E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C00E2">
              <w:rPr>
                <w:sz w:val="22"/>
                <w:szCs w:val="22"/>
              </w:rPr>
              <w:t xml:space="preserve">193 - 1 шт.,  Мультимедийный проектор </w:t>
            </w:r>
            <w:r w:rsidRPr="00FC00E2">
              <w:rPr>
                <w:sz w:val="22"/>
                <w:szCs w:val="22"/>
                <w:lang w:val="en-US"/>
              </w:rPr>
              <w:t>NEC</w:t>
            </w:r>
            <w:r w:rsidRPr="00FC00E2">
              <w:rPr>
                <w:sz w:val="22"/>
                <w:szCs w:val="22"/>
              </w:rPr>
              <w:t xml:space="preserve"> </w:t>
            </w:r>
            <w:r w:rsidRPr="00FC00E2">
              <w:rPr>
                <w:sz w:val="22"/>
                <w:szCs w:val="22"/>
                <w:lang w:val="en-US"/>
              </w:rPr>
              <w:t>ME</w:t>
            </w:r>
            <w:r w:rsidRPr="00FC00E2">
              <w:rPr>
                <w:sz w:val="22"/>
                <w:szCs w:val="22"/>
              </w:rPr>
              <w:t>402</w:t>
            </w:r>
            <w:r w:rsidRPr="00FC00E2">
              <w:rPr>
                <w:sz w:val="22"/>
                <w:szCs w:val="22"/>
                <w:lang w:val="en-US"/>
              </w:rPr>
              <w:t>X</w:t>
            </w:r>
            <w:r w:rsidRPr="00FC00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00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00E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C00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C00E2" w14:paraId="3CF77EC9" w14:textId="77777777" w:rsidTr="008416EB">
        <w:tc>
          <w:tcPr>
            <w:tcW w:w="7797" w:type="dxa"/>
            <w:shd w:val="clear" w:color="auto" w:fill="auto"/>
          </w:tcPr>
          <w:p w14:paraId="69788953" w14:textId="77777777" w:rsidR="002C735C" w:rsidRPr="00FC00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00E2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00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00E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FC00E2">
              <w:rPr>
                <w:sz w:val="22"/>
                <w:szCs w:val="22"/>
                <w:lang w:val="en-US"/>
              </w:rPr>
              <w:t>HP</w:t>
            </w:r>
            <w:r w:rsidRPr="00FC00E2">
              <w:rPr>
                <w:sz w:val="22"/>
                <w:szCs w:val="22"/>
              </w:rPr>
              <w:t xml:space="preserve"> 250 </w:t>
            </w:r>
            <w:r w:rsidRPr="00FC00E2">
              <w:rPr>
                <w:sz w:val="22"/>
                <w:szCs w:val="22"/>
                <w:lang w:val="en-US"/>
              </w:rPr>
              <w:t>G</w:t>
            </w:r>
            <w:r w:rsidRPr="00FC00E2">
              <w:rPr>
                <w:sz w:val="22"/>
                <w:szCs w:val="22"/>
              </w:rPr>
              <w:t>6 1</w:t>
            </w:r>
            <w:r w:rsidRPr="00FC00E2">
              <w:rPr>
                <w:sz w:val="22"/>
                <w:szCs w:val="22"/>
                <w:lang w:val="en-US"/>
              </w:rPr>
              <w:t>WY</w:t>
            </w:r>
            <w:r w:rsidRPr="00FC00E2">
              <w:rPr>
                <w:sz w:val="22"/>
                <w:szCs w:val="22"/>
              </w:rPr>
              <w:t>58</w:t>
            </w:r>
            <w:r w:rsidRPr="00FC00E2">
              <w:rPr>
                <w:sz w:val="22"/>
                <w:szCs w:val="22"/>
                <w:lang w:val="en-US"/>
              </w:rPr>
              <w:t>EA</w:t>
            </w:r>
            <w:r w:rsidRPr="00FC00E2">
              <w:rPr>
                <w:sz w:val="22"/>
                <w:szCs w:val="22"/>
              </w:rPr>
              <w:t xml:space="preserve">, Мультимедийный проектор </w:t>
            </w:r>
            <w:r w:rsidRPr="00FC00E2">
              <w:rPr>
                <w:sz w:val="22"/>
                <w:szCs w:val="22"/>
                <w:lang w:val="en-US"/>
              </w:rPr>
              <w:t>LG</w:t>
            </w:r>
            <w:r w:rsidRPr="00FC00E2">
              <w:rPr>
                <w:sz w:val="22"/>
                <w:szCs w:val="22"/>
              </w:rPr>
              <w:t xml:space="preserve"> </w:t>
            </w:r>
            <w:r w:rsidRPr="00FC00E2">
              <w:rPr>
                <w:sz w:val="22"/>
                <w:szCs w:val="22"/>
                <w:lang w:val="en-US"/>
              </w:rPr>
              <w:t>PF</w:t>
            </w:r>
            <w:r w:rsidRPr="00FC00E2">
              <w:rPr>
                <w:sz w:val="22"/>
                <w:szCs w:val="22"/>
              </w:rPr>
              <w:t>1500</w:t>
            </w:r>
            <w:r w:rsidRPr="00FC00E2">
              <w:rPr>
                <w:sz w:val="22"/>
                <w:szCs w:val="22"/>
                <w:lang w:val="en-US"/>
              </w:rPr>
              <w:t>G</w:t>
            </w:r>
            <w:r w:rsidRPr="00FC00E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39301C" w14:textId="77777777" w:rsidR="002C735C" w:rsidRPr="00FC00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00E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C00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C00E2" w14:paraId="34659750" w14:textId="77777777" w:rsidTr="008416EB">
        <w:tc>
          <w:tcPr>
            <w:tcW w:w="7797" w:type="dxa"/>
            <w:shd w:val="clear" w:color="auto" w:fill="auto"/>
          </w:tcPr>
          <w:p w14:paraId="7DC7ABF9" w14:textId="77777777" w:rsidR="002C735C" w:rsidRPr="00FC00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00E2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00E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C00E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FC00E2">
              <w:rPr>
                <w:sz w:val="22"/>
                <w:szCs w:val="22"/>
                <w:lang w:val="en-US"/>
              </w:rPr>
              <w:t>HP</w:t>
            </w:r>
            <w:r w:rsidRPr="00FC00E2">
              <w:rPr>
                <w:sz w:val="22"/>
                <w:szCs w:val="22"/>
              </w:rPr>
              <w:t xml:space="preserve"> 250 </w:t>
            </w:r>
            <w:r w:rsidRPr="00FC00E2">
              <w:rPr>
                <w:sz w:val="22"/>
                <w:szCs w:val="22"/>
                <w:lang w:val="en-US"/>
              </w:rPr>
              <w:t>G</w:t>
            </w:r>
            <w:r w:rsidRPr="00FC00E2">
              <w:rPr>
                <w:sz w:val="22"/>
                <w:szCs w:val="22"/>
              </w:rPr>
              <w:t>6 1</w:t>
            </w:r>
            <w:r w:rsidRPr="00FC00E2">
              <w:rPr>
                <w:sz w:val="22"/>
                <w:szCs w:val="22"/>
                <w:lang w:val="en-US"/>
              </w:rPr>
              <w:t>WY</w:t>
            </w:r>
            <w:r w:rsidRPr="00FC00E2">
              <w:rPr>
                <w:sz w:val="22"/>
                <w:szCs w:val="22"/>
              </w:rPr>
              <w:t>58</w:t>
            </w:r>
            <w:r w:rsidRPr="00FC00E2">
              <w:rPr>
                <w:sz w:val="22"/>
                <w:szCs w:val="22"/>
                <w:lang w:val="en-US"/>
              </w:rPr>
              <w:t>EA</w:t>
            </w:r>
            <w:r w:rsidRPr="00FC00E2">
              <w:rPr>
                <w:sz w:val="22"/>
                <w:szCs w:val="22"/>
              </w:rPr>
              <w:t xml:space="preserve">, Мультимедийный проектор </w:t>
            </w:r>
            <w:r w:rsidRPr="00FC00E2">
              <w:rPr>
                <w:sz w:val="22"/>
                <w:szCs w:val="22"/>
                <w:lang w:val="en-US"/>
              </w:rPr>
              <w:t>LG</w:t>
            </w:r>
            <w:r w:rsidRPr="00FC00E2">
              <w:rPr>
                <w:sz w:val="22"/>
                <w:szCs w:val="22"/>
              </w:rPr>
              <w:t xml:space="preserve"> </w:t>
            </w:r>
            <w:r w:rsidRPr="00FC00E2">
              <w:rPr>
                <w:sz w:val="22"/>
                <w:szCs w:val="22"/>
                <w:lang w:val="en-US"/>
              </w:rPr>
              <w:t>PF</w:t>
            </w:r>
            <w:r w:rsidRPr="00FC00E2">
              <w:rPr>
                <w:sz w:val="22"/>
                <w:szCs w:val="22"/>
              </w:rPr>
              <w:t>1500</w:t>
            </w:r>
            <w:r w:rsidRPr="00FC00E2">
              <w:rPr>
                <w:sz w:val="22"/>
                <w:szCs w:val="22"/>
                <w:lang w:val="en-US"/>
              </w:rPr>
              <w:t>G</w:t>
            </w:r>
            <w:r w:rsidRPr="00FC00E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1D702E" w14:textId="77777777" w:rsidR="002C735C" w:rsidRPr="00FC00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00E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C00E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C00E2" w14:paraId="452E648D" w14:textId="77777777" w:rsidTr="008416EB">
        <w:tc>
          <w:tcPr>
            <w:tcW w:w="7797" w:type="dxa"/>
            <w:shd w:val="clear" w:color="auto" w:fill="auto"/>
          </w:tcPr>
          <w:p w14:paraId="386AA29E" w14:textId="77777777" w:rsidR="002C735C" w:rsidRPr="00FC00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00E2">
              <w:rPr>
                <w:sz w:val="22"/>
                <w:szCs w:val="22"/>
              </w:rPr>
              <w:t>Ауд. 504</w:t>
            </w:r>
            <w:proofErr w:type="gramStart"/>
            <w:r w:rsidRPr="00FC00E2">
              <w:rPr>
                <w:sz w:val="22"/>
                <w:szCs w:val="22"/>
              </w:rPr>
              <w:t>А  Лаборатория</w:t>
            </w:r>
            <w:proofErr w:type="gramEnd"/>
            <w:r w:rsidRPr="00FC00E2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FC00E2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FC00E2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FC00E2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FC00E2">
              <w:rPr>
                <w:sz w:val="22"/>
                <w:szCs w:val="22"/>
              </w:rPr>
              <w:t>2: 4</w:t>
            </w:r>
            <w:r w:rsidRPr="00FC00E2">
              <w:rPr>
                <w:sz w:val="22"/>
                <w:szCs w:val="22"/>
                <w:lang w:val="en-US"/>
              </w:rPr>
              <w:t>x</w:t>
            </w:r>
            <w:r w:rsidRPr="00FC00E2">
              <w:rPr>
                <w:sz w:val="22"/>
                <w:szCs w:val="22"/>
              </w:rPr>
              <w:t>3.1/8</w:t>
            </w:r>
            <w:r w:rsidRPr="00FC00E2">
              <w:rPr>
                <w:sz w:val="22"/>
                <w:szCs w:val="22"/>
                <w:lang w:val="en-US"/>
              </w:rPr>
              <w:t>Gb</w:t>
            </w:r>
            <w:r w:rsidRPr="00FC00E2">
              <w:rPr>
                <w:sz w:val="22"/>
                <w:szCs w:val="22"/>
              </w:rPr>
              <w:t>/500</w:t>
            </w:r>
            <w:r w:rsidRPr="00FC00E2">
              <w:rPr>
                <w:sz w:val="22"/>
                <w:szCs w:val="22"/>
                <w:lang w:val="en-US"/>
              </w:rPr>
              <w:t>Gb</w:t>
            </w:r>
            <w:r w:rsidRPr="00FC00E2">
              <w:rPr>
                <w:sz w:val="22"/>
                <w:szCs w:val="22"/>
              </w:rPr>
              <w:t xml:space="preserve">/ </w:t>
            </w:r>
            <w:proofErr w:type="spellStart"/>
            <w:r w:rsidRPr="00FC00E2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FC00E2">
              <w:rPr>
                <w:sz w:val="22"/>
                <w:szCs w:val="22"/>
              </w:rPr>
              <w:t xml:space="preserve"> 23" 236</w:t>
            </w:r>
            <w:r w:rsidRPr="00FC00E2">
              <w:rPr>
                <w:sz w:val="22"/>
                <w:szCs w:val="22"/>
                <w:lang w:val="en-US"/>
              </w:rPr>
              <w:t>V</w:t>
            </w:r>
            <w:r w:rsidRPr="00FC00E2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FC00E2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FC00E2">
              <w:rPr>
                <w:sz w:val="22"/>
                <w:szCs w:val="22"/>
              </w:rPr>
              <w:t xml:space="preserve"> </w:t>
            </w:r>
            <w:r w:rsidRPr="00FC00E2">
              <w:rPr>
                <w:sz w:val="22"/>
                <w:szCs w:val="22"/>
                <w:lang w:val="en-US"/>
              </w:rPr>
              <w:t>Media</w:t>
            </w:r>
            <w:r w:rsidRPr="00FC00E2">
              <w:rPr>
                <w:sz w:val="22"/>
                <w:szCs w:val="22"/>
              </w:rPr>
              <w:t xml:space="preserve"> </w:t>
            </w:r>
            <w:r w:rsidRPr="00FC00E2">
              <w:rPr>
                <w:sz w:val="22"/>
                <w:szCs w:val="22"/>
                <w:lang w:val="en-US"/>
              </w:rPr>
              <w:t>RE</w:t>
            </w:r>
            <w:r w:rsidRPr="00FC00E2">
              <w:rPr>
                <w:sz w:val="22"/>
                <w:szCs w:val="22"/>
              </w:rPr>
              <w:t xml:space="preserve"> 100</w:t>
            </w:r>
            <w:r w:rsidRPr="00FC00E2">
              <w:rPr>
                <w:sz w:val="22"/>
                <w:szCs w:val="22"/>
                <w:lang w:val="en-US"/>
              </w:rPr>
              <w:t>AW</w:t>
            </w:r>
            <w:r w:rsidRPr="00FC00E2">
              <w:rPr>
                <w:sz w:val="22"/>
                <w:szCs w:val="22"/>
              </w:rPr>
              <w:t xml:space="preserve"> </w:t>
            </w:r>
            <w:r w:rsidRPr="00FC00E2">
              <w:rPr>
                <w:sz w:val="22"/>
                <w:szCs w:val="22"/>
                <w:lang w:val="en-US"/>
              </w:rPr>
              <w:t>Dual</w:t>
            </w:r>
            <w:r w:rsidRPr="00FC00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</w:t>
            </w:r>
            <w:r w:rsidRPr="00FC00E2">
              <w:rPr>
                <w:sz w:val="22"/>
                <w:szCs w:val="22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ED56F8" w14:textId="77777777" w:rsidR="002C735C" w:rsidRPr="00FC00E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00E2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FC00E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72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lastRenderedPageBreak/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2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72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728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00E2" w14:paraId="0F8B47B0" w14:textId="77777777" w:rsidTr="00FC00E2">
        <w:tc>
          <w:tcPr>
            <w:tcW w:w="562" w:type="dxa"/>
          </w:tcPr>
          <w:p w14:paraId="77E1A2E4" w14:textId="77777777" w:rsidR="00FC00E2" w:rsidRDefault="00FC00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330D20" w14:textId="77777777" w:rsidR="00FC00E2" w:rsidRDefault="00FC00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728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00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0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728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C00E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00E2" w14:paraId="5A1C9382" w14:textId="77777777" w:rsidTr="00801458">
        <w:tc>
          <w:tcPr>
            <w:tcW w:w="2336" w:type="dxa"/>
          </w:tcPr>
          <w:p w14:paraId="4C518DAB" w14:textId="77777777" w:rsidR="005D65A5" w:rsidRPr="00FC00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0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00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0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00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0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00E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0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00E2" w14:paraId="07658034" w14:textId="77777777" w:rsidTr="00801458">
        <w:tc>
          <w:tcPr>
            <w:tcW w:w="2336" w:type="dxa"/>
          </w:tcPr>
          <w:p w14:paraId="1553D698" w14:textId="78F29BFB" w:rsidR="005D65A5" w:rsidRPr="00FC00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00E2" w:rsidRDefault="007478E0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C00E2" w:rsidRDefault="007478E0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C00E2" w:rsidRDefault="007478E0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C00E2" w14:paraId="103A196A" w14:textId="77777777" w:rsidTr="00801458">
        <w:tc>
          <w:tcPr>
            <w:tcW w:w="2336" w:type="dxa"/>
          </w:tcPr>
          <w:p w14:paraId="1FD443D3" w14:textId="77777777" w:rsidR="005D65A5" w:rsidRPr="00FC00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3ABDE2" w14:textId="77777777" w:rsidR="005D65A5" w:rsidRPr="00FC00E2" w:rsidRDefault="007478E0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9364D6" w14:textId="77777777" w:rsidR="005D65A5" w:rsidRPr="00FC00E2" w:rsidRDefault="007478E0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90487F" w14:textId="77777777" w:rsidR="005D65A5" w:rsidRPr="00FC00E2" w:rsidRDefault="007478E0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C00E2" w14:paraId="06A65FEC" w14:textId="77777777" w:rsidTr="00801458">
        <w:tc>
          <w:tcPr>
            <w:tcW w:w="2336" w:type="dxa"/>
          </w:tcPr>
          <w:p w14:paraId="1FEDB2DA" w14:textId="77777777" w:rsidR="005D65A5" w:rsidRPr="00FC00E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F329A3" w14:textId="77777777" w:rsidR="005D65A5" w:rsidRPr="00FC00E2" w:rsidRDefault="007478E0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914741" w14:textId="77777777" w:rsidR="005D65A5" w:rsidRPr="00FC00E2" w:rsidRDefault="007478E0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6757F7" w14:textId="77777777" w:rsidR="005D65A5" w:rsidRPr="00FC00E2" w:rsidRDefault="007478E0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FC00E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C00E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72812"/>
      <w:r w:rsidRPr="00FC00E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D84798E" w:rsidR="00C23E7F" w:rsidRPr="00FC00E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00E2" w:rsidRPr="00FC00E2" w14:paraId="0B535F62" w14:textId="77777777" w:rsidTr="00FC00E2">
        <w:tc>
          <w:tcPr>
            <w:tcW w:w="562" w:type="dxa"/>
          </w:tcPr>
          <w:p w14:paraId="0D365B7E" w14:textId="77777777" w:rsidR="00FC00E2" w:rsidRPr="00FC00E2" w:rsidRDefault="00FC00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60A2D3" w14:textId="77777777" w:rsidR="00FC00E2" w:rsidRPr="00FC00E2" w:rsidRDefault="00FC00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0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37F5C2" w14:textId="77777777" w:rsidR="00FC00E2" w:rsidRPr="00FC00E2" w:rsidRDefault="00FC00E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C00E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72813"/>
      <w:r w:rsidRPr="00FC00E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C00E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FC00E2" w14:paraId="0267C479" w14:textId="77777777" w:rsidTr="00801458">
        <w:tc>
          <w:tcPr>
            <w:tcW w:w="2500" w:type="pct"/>
          </w:tcPr>
          <w:p w14:paraId="37F699C9" w14:textId="77777777" w:rsidR="00B8237E" w:rsidRPr="00FC00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0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00E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0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00E2" w14:paraId="3F240151" w14:textId="77777777" w:rsidTr="00801458">
        <w:tc>
          <w:tcPr>
            <w:tcW w:w="2500" w:type="pct"/>
          </w:tcPr>
          <w:p w14:paraId="61E91592" w14:textId="61A0874C" w:rsidR="00B8237E" w:rsidRPr="00FC00E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C00E2" w:rsidRDefault="005C548A" w:rsidP="00801458">
            <w:pPr>
              <w:rPr>
                <w:rFonts w:ascii="Times New Roman" w:hAnsi="Times New Roman" w:cs="Times New Roman"/>
              </w:rPr>
            </w:pPr>
            <w:r w:rsidRPr="00FC00E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FC00E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728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CEE48" w14:textId="77777777" w:rsidR="006F4FD0" w:rsidRDefault="006F4FD0" w:rsidP="00315CA6">
      <w:pPr>
        <w:spacing w:after="0" w:line="240" w:lineRule="auto"/>
      </w:pPr>
      <w:r>
        <w:separator/>
      </w:r>
    </w:p>
  </w:endnote>
  <w:endnote w:type="continuationSeparator" w:id="0">
    <w:p w14:paraId="343408B1" w14:textId="77777777" w:rsidR="006F4FD0" w:rsidRDefault="006F4F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2478E2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0E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26CBB" w14:textId="77777777" w:rsidR="006F4FD0" w:rsidRDefault="006F4FD0" w:rsidP="00315CA6">
      <w:pPr>
        <w:spacing w:after="0" w:line="240" w:lineRule="auto"/>
      </w:pPr>
      <w:r>
        <w:separator/>
      </w:r>
    </w:p>
  </w:footnote>
  <w:footnote w:type="continuationSeparator" w:id="0">
    <w:p w14:paraId="5E10FAA4" w14:textId="77777777" w:rsidR="006F4FD0" w:rsidRDefault="006F4F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FD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0E2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ru/catalog/document?id=19674&amp;from_similar=1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ru/catalog/document?id=20997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DF4FC5-AD52-4C20-A691-7AE2CBF3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